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8B76" w14:textId="6D6D3596" w:rsidR="00B85DEB" w:rsidRPr="00DF354D" w:rsidRDefault="00B85DEB" w:rsidP="00B85DEB">
      <w:pPr>
        <w:ind w:firstLine="0"/>
        <w:rPr>
          <w:rFonts w:ascii="Times New Roman" w:hAnsi="Times New Roman"/>
          <w:sz w:val="28"/>
          <w:szCs w:val="28"/>
          <w:lang w:val="it-IT"/>
        </w:rPr>
      </w:pPr>
      <w:r w:rsidRPr="00DF354D">
        <w:rPr>
          <w:rFonts w:ascii="Times New Roman" w:hAnsi="Times New Roman"/>
          <w:sz w:val="28"/>
          <w:szCs w:val="28"/>
          <w:lang w:val="it-IT"/>
        </w:rPr>
        <w:t>Elena Polledri è Professoressa associata di Letteratura Tedesca (L-LIN/13) all’Università degli Studi di Udine e abilitata alla I fascia</w:t>
      </w:r>
      <w:r w:rsidR="00DF354D">
        <w:rPr>
          <w:rFonts w:ascii="Times New Roman" w:hAnsi="Times New Roman"/>
          <w:sz w:val="28"/>
          <w:szCs w:val="28"/>
          <w:lang w:val="it-IT"/>
        </w:rPr>
        <w:t xml:space="preserve"> (ASN, I tornata 2016)</w:t>
      </w:r>
      <w:r w:rsidRPr="00DF354D">
        <w:rPr>
          <w:rFonts w:ascii="Times New Roman" w:hAnsi="Times New Roman"/>
          <w:sz w:val="28"/>
          <w:szCs w:val="28"/>
          <w:lang w:val="it-IT"/>
        </w:rPr>
        <w:t>. Dopo la laurea presso l’Università Cattolica di Milano e un dottorato di ricerca in co-tutela con l’Università di Konstanz, è stata assegnista di ricerca presso l’Università di Udine (2003-2006) e poi borsista della Fondazione Alexander von Humboldt (2007-2009) presso l’Università di Konstanz. È membro del Direttivo della Hölderlin-Gesellschaft, portavoce della sezione italiana ed è codirettrice della rivista «Studia Hölderliniana» e della collana TranLIT (LIT). È consulente scientifica della Biblioteca Austriaca di Udine e Vicepresidente dell’Associazione Biblioteca Austriaca. Nel 2017 è stata insignita del Premio Ladislao Mittner in Letteratura Tedesca come riconoscimento per l’“eccellenza scientifica e l’impegno profuso per intensificare il dialogo italo-tedesco nella didattica e nella ricerca”.</w:t>
      </w:r>
      <w:r w:rsidR="00584B2D" w:rsidRPr="00DF354D">
        <w:rPr>
          <w:rFonts w:ascii="Times New Roman" w:hAnsi="Times New Roman"/>
          <w:sz w:val="28"/>
          <w:szCs w:val="28"/>
          <w:lang w:val="it-IT"/>
        </w:rPr>
        <w:t xml:space="preserve"> I suoi ambiti di ricerca riguardano</w:t>
      </w:r>
      <w:r w:rsidR="00DF354D" w:rsidRPr="00DF354D">
        <w:rPr>
          <w:rFonts w:ascii="Times New Roman" w:hAnsi="Times New Roman"/>
          <w:sz w:val="28"/>
          <w:szCs w:val="28"/>
          <w:lang w:val="it-IT"/>
        </w:rPr>
        <w:t>:</w:t>
      </w:r>
      <w:r w:rsidR="00584B2D" w:rsidRPr="00DF354D">
        <w:rPr>
          <w:rFonts w:ascii="Times New Roman" w:hAnsi="Times New Roman"/>
          <w:sz w:val="28"/>
          <w:szCs w:val="28"/>
          <w:lang w:val="it-IT"/>
        </w:rPr>
        <w:t xml:space="preserve"> F. Hölderlin, il Settecento,</w:t>
      </w:r>
      <w:r w:rsidR="00DF354D" w:rsidRPr="00DF354D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584B2D" w:rsidRPr="00DF354D">
        <w:rPr>
          <w:rFonts w:ascii="Times New Roman" w:hAnsi="Times New Roman"/>
          <w:sz w:val="28"/>
          <w:szCs w:val="28"/>
          <w:lang w:val="it-IT"/>
        </w:rPr>
        <w:t>l’età classico-romantica, la</w:t>
      </w:r>
      <w:r w:rsidR="00DF354D">
        <w:rPr>
          <w:rFonts w:ascii="Times New Roman" w:hAnsi="Times New Roman"/>
          <w:sz w:val="28"/>
          <w:szCs w:val="28"/>
          <w:lang w:val="it-IT"/>
        </w:rPr>
        <w:t xml:space="preserve"> Moderne</w:t>
      </w:r>
      <w:r w:rsidR="00584B2D" w:rsidRPr="00DF354D">
        <w:rPr>
          <w:rFonts w:ascii="Times New Roman" w:hAnsi="Times New Roman"/>
          <w:sz w:val="28"/>
          <w:szCs w:val="28"/>
          <w:lang w:val="it-IT"/>
        </w:rPr>
        <w:t xml:space="preserve">, R.M. Rilke, la letteratura del secondo dopoguerra, P. Celan, la letteratura contemporanea. </w:t>
      </w:r>
      <w:r w:rsidRPr="00DF354D">
        <w:rPr>
          <w:rFonts w:ascii="Times New Roman" w:hAnsi="Times New Roman"/>
          <w:sz w:val="28"/>
          <w:szCs w:val="28"/>
          <w:lang w:val="it-IT"/>
        </w:rPr>
        <w:t>Ha privilegiato nell</w:t>
      </w:r>
      <w:r w:rsidR="00DF354D" w:rsidRPr="00DF354D">
        <w:rPr>
          <w:rFonts w:ascii="Times New Roman" w:hAnsi="Times New Roman"/>
          <w:sz w:val="28"/>
          <w:szCs w:val="28"/>
          <w:lang w:val="it-IT"/>
        </w:rPr>
        <w:t>e sue</w:t>
      </w:r>
      <w:r w:rsidRPr="00DF354D">
        <w:rPr>
          <w:rFonts w:ascii="Times New Roman" w:hAnsi="Times New Roman"/>
          <w:sz w:val="28"/>
          <w:szCs w:val="28"/>
          <w:lang w:val="it-IT"/>
        </w:rPr>
        <w:t xml:space="preserve"> ricerc</w:t>
      </w:r>
      <w:r w:rsidR="00DF354D" w:rsidRPr="00DF354D">
        <w:rPr>
          <w:rFonts w:ascii="Times New Roman" w:hAnsi="Times New Roman"/>
          <w:sz w:val="28"/>
          <w:szCs w:val="28"/>
          <w:lang w:val="it-IT"/>
        </w:rPr>
        <w:t>he</w:t>
      </w:r>
      <w:r w:rsidRPr="00DF354D">
        <w:rPr>
          <w:rFonts w:ascii="Times New Roman" w:hAnsi="Times New Roman"/>
          <w:sz w:val="28"/>
          <w:szCs w:val="28"/>
          <w:lang w:val="it-IT"/>
        </w:rPr>
        <w:t xml:space="preserve"> i seguenti temi: il transfer interculturale tra i paesi di lingua tedesca e l’Italia; la teoria, storia e pratica della traduzione; l’nterculturalità e la transculturalità; il teatro; i rapporti della letteratura con le arti figurative, i linguaggi musicali</w:t>
      </w:r>
      <w:r w:rsidR="00E57DC7">
        <w:rPr>
          <w:rFonts w:ascii="Times New Roman" w:hAnsi="Times New Roman"/>
          <w:sz w:val="28"/>
          <w:szCs w:val="28"/>
          <w:lang w:val="it-IT"/>
        </w:rPr>
        <w:t xml:space="preserve"> e</w:t>
      </w:r>
      <w:r w:rsidRPr="00DF354D">
        <w:rPr>
          <w:rFonts w:ascii="Times New Roman" w:hAnsi="Times New Roman"/>
          <w:sz w:val="28"/>
          <w:szCs w:val="28"/>
          <w:lang w:val="it-IT"/>
        </w:rPr>
        <w:t xml:space="preserve"> la filosofia; l’</w:t>
      </w:r>
      <w:r w:rsidR="00E57DC7">
        <w:rPr>
          <w:rFonts w:ascii="Times New Roman" w:hAnsi="Times New Roman"/>
          <w:sz w:val="28"/>
          <w:szCs w:val="28"/>
          <w:lang w:val="it-IT"/>
        </w:rPr>
        <w:t>i</w:t>
      </w:r>
      <w:r w:rsidRPr="00DF354D">
        <w:rPr>
          <w:rFonts w:ascii="Times New Roman" w:hAnsi="Times New Roman"/>
          <w:sz w:val="28"/>
          <w:szCs w:val="28"/>
          <w:lang w:val="it-IT"/>
        </w:rPr>
        <w:t>ntertestualità e l’intermedialità; lo studio dei generi letterari; la didattica della letteratura.</w:t>
      </w:r>
    </w:p>
    <w:p w14:paraId="17923018" w14:textId="77777777" w:rsidR="00B85DEB" w:rsidRPr="007B2079" w:rsidRDefault="00B85DEB" w:rsidP="00B85DEB">
      <w:pPr>
        <w:rPr>
          <w:lang w:val="it-IT"/>
        </w:rPr>
      </w:pPr>
    </w:p>
    <w:p w14:paraId="010D52EF" w14:textId="77777777" w:rsidR="000E2B82" w:rsidRPr="00B85DEB" w:rsidRDefault="000E2B82">
      <w:pPr>
        <w:rPr>
          <w:lang w:val="it-IT"/>
        </w:rPr>
      </w:pPr>
    </w:p>
    <w:sectPr w:rsidR="000E2B82" w:rsidRPr="00B85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D1"/>
    <w:rsid w:val="000E2B82"/>
    <w:rsid w:val="003203D1"/>
    <w:rsid w:val="00584B2D"/>
    <w:rsid w:val="00B85DEB"/>
    <w:rsid w:val="00C57913"/>
    <w:rsid w:val="00CA3DD9"/>
    <w:rsid w:val="00D2078A"/>
    <w:rsid w:val="00DF354D"/>
    <w:rsid w:val="00E5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8ECE"/>
  <w15:chartTrackingRefBased/>
  <w15:docId w15:val="{1D0DF12D-D451-4668-800F-14F31B98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DEB"/>
    <w:pPr>
      <w:spacing w:after="0" w:line="240" w:lineRule="auto"/>
      <w:ind w:firstLine="284"/>
      <w:jc w:val="both"/>
    </w:pPr>
    <w:rPr>
      <w:rFonts w:ascii="Book Antiqua" w:eastAsia="Times New Roman" w:hAnsi="Book Antiqua" w:cs="Times New Roman"/>
      <w:sz w:val="19"/>
      <w:szCs w:val="20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2021-01-08T20:05:00Z</dcterms:created>
  <dcterms:modified xsi:type="dcterms:W3CDTF">2021-01-09T17:35:00Z</dcterms:modified>
</cp:coreProperties>
</file>